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09B4" w14:textId="77777777" w:rsidR="00224313" w:rsidRDefault="00224313"/>
    <w:tbl>
      <w:tblPr>
        <w:tblW w:w="14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7349"/>
        <w:gridCol w:w="1682"/>
        <w:gridCol w:w="3247"/>
      </w:tblGrid>
      <w:tr w:rsidR="00224313" w14:paraId="5C8349C5" w14:textId="77777777" w:rsidTr="2F2B8717">
        <w:trPr>
          <w:cantSplit/>
          <w:trHeight w:val="507"/>
        </w:trPr>
        <w:tc>
          <w:tcPr>
            <w:tcW w:w="1972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E196F" w14:textId="77777777" w:rsidR="00224313" w:rsidRDefault="00DB1FF3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Název pracoviště:</w:t>
            </w:r>
          </w:p>
        </w:tc>
        <w:tc>
          <w:tcPr>
            <w:tcW w:w="734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25F09" w14:textId="6E293DFE" w:rsidR="00224313" w:rsidRDefault="00DB1FF3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MFF UK, Ke Karlovu 3, Praha 2/pracoviště ………………………………..</w:t>
            </w:r>
          </w:p>
        </w:tc>
        <w:tc>
          <w:tcPr>
            <w:tcW w:w="168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4C072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Číslo dokladu</w:t>
            </w:r>
          </w:p>
        </w:tc>
        <w:tc>
          <w:tcPr>
            <w:tcW w:w="324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10C7D000" w14:textId="77777777" w:rsidR="00224313" w:rsidRDefault="002243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firstLine="72"/>
              <w:rPr>
                <w:rFonts w:ascii="Cambria" w:hAnsi="Cambria"/>
              </w:rPr>
            </w:pPr>
          </w:p>
        </w:tc>
      </w:tr>
      <w:tr w:rsidR="00224313" w14:paraId="40AB264C" w14:textId="77777777" w:rsidTr="2F2B8717">
        <w:trPr>
          <w:cantSplit/>
          <w:trHeight w:val="508"/>
        </w:trPr>
        <w:tc>
          <w:tcPr>
            <w:tcW w:w="9320" w:type="dxa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33B1E621" w14:textId="77777777" w:rsidR="00224313" w:rsidRDefault="00DB1FF3">
            <w:pPr>
              <w:widowControl w:val="0"/>
              <w:rPr>
                <w:rFonts w:ascii="Cambria" w:hAnsi="Cambria"/>
                <w:caps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PROTOKOL O KONTROLE – Regály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6587A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Perioda: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1C0D2E05" w14:textId="77777777" w:rsidR="00224313" w:rsidRDefault="00DB1FF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měsíců</w:t>
            </w:r>
          </w:p>
        </w:tc>
      </w:tr>
      <w:tr w:rsidR="00224313" w14:paraId="3BDCDD5C" w14:textId="77777777" w:rsidTr="2F2B8717">
        <w:trPr>
          <w:cantSplit/>
          <w:trHeight w:val="493"/>
        </w:trPr>
        <w:tc>
          <w:tcPr>
            <w:tcW w:w="9320" w:type="dxa"/>
            <w:gridSpan w:val="2"/>
            <w:vMerge/>
            <w:vAlign w:val="center"/>
          </w:tcPr>
          <w:p w14:paraId="00E8F918" w14:textId="77777777" w:rsidR="00224313" w:rsidRDefault="00224313">
            <w:pPr>
              <w:pStyle w:val="Nadpis1"/>
              <w:widowControl w:val="0"/>
              <w:spacing w:before="0" w:after="0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Toc149978131"/>
            <w:bookmarkStart w:id="1" w:name="_Toc149978363"/>
            <w:bookmarkStart w:id="2" w:name="_Toc159833285"/>
            <w:bookmarkStart w:id="3" w:name="_Toc165354256"/>
            <w:bookmarkStart w:id="4" w:name="_Toc200445100"/>
            <w:bookmarkStart w:id="5" w:name="_Toc200445320"/>
            <w:bookmarkStart w:id="6" w:name="_Toc200445566"/>
            <w:bookmarkStart w:id="7" w:name="_Toc200445593"/>
            <w:bookmarkStart w:id="8" w:name="_Toc200445675"/>
            <w:bookmarkStart w:id="9" w:name="_Toc200445702"/>
            <w:bookmarkStart w:id="10" w:name="_Toc212283560"/>
            <w:bookmarkStart w:id="11" w:name="_Toc215403465"/>
            <w:bookmarkStart w:id="12" w:name="_Toc215403527"/>
            <w:bookmarkStart w:id="13" w:name="_Toc215984455"/>
            <w:bookmarkStart w:id="14" w:name="_Toc217457039"/>
            <w:bookmarkStart w:id="15" w:name="_Toc217715575"/>
            <w:bookmarkStart w:id="16" w:name="_Toc217806361"/>
            <w:bookmarkStart w:id="17" w:name="_Toc219195135"/>
            <w:bookmarkStart w:id="18" w:name="_Toc21925578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8CC23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Předpis: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5AAC19F4" w14:textId="77777777" w:rsidR="00224313" w:rsidRDefault="00DB1FF3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NV 101/2005 Sb.</w:t>
            </w:r>
          </w:p>
          <w:p w14:paraId="176C96AB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ČSN 26 9030</w:t>
            </w:r>
          </w:p>
        </w:tc>
      </w:tr>
      <w:tr w:rsidR="00224313" w14:paraId="3AE6A870" w14:textId="77777777" w:rsidTr="2F2B8717">
        <w:trPr>
          <w:cantSplit/>
          <w:trHeight w:val="183"/>
        </w:trPr>
        <w:tc>
          <w:tcPr>
            <w:tcW w:w="1972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4F7F4" w14:textId="77777777" w:rsidR="00224313" w:rsidRDefault="00DB1FF3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Provádí: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903D6" w14:textId="41E7AE1B" w:rsidR="00224313" w:rsidRDefault="2C279272">
            <w:pPr>
              <w:widowControl w:val="0"/>
              <w:rPr>
                <w:rFonts w:ascii="Cambria" w:hAnsi="Cambria"/>
              </w:rPr>
            </w:pPr>
            <w:r w:rsidRPr="00536428">
              <w:rPr>
                <w:rFonts w:ascii="Cambria" w:hAnsi="Cambria"/>
              </w:rPr>
              <w:t xml:space="preserve">Roman Šilha, </w:t>
            </w:r>
            <w:r w:rsidRPr="000C6016">
              <w:rPr>
                <w:rFonts w:ascii="Cambria" w:hAnsi="Cambria"/>
              </w:rPr>
              <w:t>kontakt:</w:t>
            </w:r>
            <w:r w:rsidR="000C6016">
              <w:rPr>
                <w:rFonts w:ascii="Cambria" w:hAnsi="Cambria"/>
              </w:rPr>
              <w:t xml:space="preserve"> </w:t>
            </w:r>
            <w:hyperlink r:id="rId7" w:history="1">
              <w:r w:rsidR="000C6016">
                <w:rPr>
                  <w:rStyle w:val="Hypertextovodkaz"/>
                </w:rPr>
                <w:t>sb-regaly@matfyz.cuni.cz</w:t>
              </w:r>
            </w:hyperlink>
            <w:r w:rsidRPr="2F2B8717">
              <w:rPr>
                <w:rFonts w:ascii="Cambria" w:hAnsi="Cambria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50B6B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Způsob kontroly: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034108A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vizuální, technický stav,</w:t>
            </w:r>
          </w:p>
          <w:p w14:paraId="286B63F6" w14:textId="77777777" w:rsidR="00224313" w:rsidRDefault="00DB1FF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ochranná zařízení, zkouška</w:t>
            </w:r>
          </w:p>
        </w:tc>
      </w:tr>
    </w:tbl>
    <w:p w14:paraId="3DD8A2E2" w14:textId="77777777" w:rsidR="00224313" w:rsidRDefault="00224313">
      <w:pPr>
        <w:rPr>
          <w:rFonts w:ascii="Cambria" w:hAnsi="Cambria"/>
          <w:sz w:val="10"/>
          <w:szCs w:val="10"/>
        </w:rPr>
      </w:pPr>
    </w:p>
    <w:tbl>
      <w:tblPr>
        <w:tblW w:w="14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2011"/>
        <w:gridCol w:w="610"/>
        <w:gridCol w:w="610"/>
        <w:gridCol w:w="612"/>
        <w:gridCol w:w="610"/>
        <w:gridCol w:w="611"/>
        <w:gridCol w:w="1637"/>
        <w:gridCol w:w="1683"/>
        <w:gridCol w:w="1548"/>
        <w:gridCol w:w="1853"/>
        <w:gridCol w:w="1529"/>
      </w:tblGrid>
      <w:tr w:rsidR="00224313" w14:paraId="64FBF52B" w14:textId="77777777">
        <w:trPr>
          <w:cantSplit/>
          <w:trHeight w:val="477"/>
        </w:trPr>
        <w:tc>
          <w:tcPr>
            <w:tcW w:w="93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ED9BE8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201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82EB06" w14:textId="3F3C2851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Evidenční číslo a umístění regálu</w:t>
            </w:r>
          </w:p>
        </w:tc>
        <w:tc>
          <w:tcPr>
            <w:tcW w:w="305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138E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Stav regálu</w:t>
            </w:r>
          </w:p>
          <w:p w14:paraId="631E0846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vyhovuje: ANO/NE</w:t>
            </w:r>
          </w:p>
        </w:tc>
        <w:tc>
          <w:tcPr>
            <w:tcW w:w="163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304F88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Celkové vyhodnocení, poznámka</w:t>
            </w:r>
          </w:p>
          <w:p w14:paraId="6267CFAC" w14:textId="77777777" w:rsidR="00224313" w:rsidRDefault="0022431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96ED53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VYHOVUJE / NEVYHOVUJE</w:t>
            </w:r>
          </w:p>
        </w:tc>
        <w:tc>
          <w:tcPr>
            <w:tcW w:w="168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1B5BF4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Kontrolu</w:t>
            </w:r>
          </w:p>
          <w:p w14:paraId="04A3481B" w14:textId="119BC672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provedl/podpis</w:t>
            </w:r>
          </w:p>
        </w:tc>
        <w:tc>
          <w:tcPr>
            <w:tcW w:w="154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1EA96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 výsledkem</w:t>
            </w:r>
          </w:p>
          <w:p w14:paraId="11776430" w14:textId="77777777" w:rsidR="004E740B" w:rsidRDefault="00DB1FF3" w:rsidP="004E740B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seznámen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ved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 pracoviště/</w:t>
            </w:r>
          </w:p>
          <w:p w14:paraId="0B353D62" w14:textId="7A791068" w:rsidR="00224313" w:rsidRDefault="00DB1FF3" w:rsidP="004E740B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dne / podpis</w:t>
            </w:r>
          </w:p>
        </w:tc>
        <w:tc>
          <w:tcPr>
            <w:tcW w:w="185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8090F3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Stanovená opatření</w:t>
            </w:r>
          </w:p>
        </w:tc>
        <w:tc>
          <w:tcPr>
            <w:tcW w:w="15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3458489" w14:textId="77777777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Závady odstraněny </w:t>
            </w:r>
          </w:p>
          <w:p w14:paraId="3CFA2F78" w14:textId="5F4B9E3A" w:rsidR="00224313" w:rsidRDefault="00DB1FF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dne/podpis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ved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 pracoviště</w:t>
            </w:r>
          </w:p>
        </w:tc>
      </w:tr>
      <w:tr w:rsidR="00224313" w14:paraId="201954BD" w14:textId="77777777">
        <w:trPr>
          <w:cantSplit/>
          <w:trHeight w:val="1114"/>
        </w:trPr>
        <w:tc>
          <w:tcPr>
            <w:tcW w:w="93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F96603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CB5070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D9C03E" w14:textId="77777777" w:rsidR="00224313" w:rsidRDefault="00DB1FF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Tuhost spojů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B0BF34" w14:textId="77777777" w:rsidR="00224313" w:rsidRDefault="00DB1FF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Stabilita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A3D59B" w14:textId="77777777" w:rsidR="00224313" w:rsidRDefault="00DB1FF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Svislost a vodorovnost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465921" w14:textId="77777777" w:rsidR="00224313" w:rsidRDefault="00DB1FF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Přetěžování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D60059" w14:textId="77777777" w:rsidR="00224313" w:rsidRDefault="00DB1FF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Označení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D81EC0" w14:textId="77777777" w:rsidR="00224313" w:rsidRDefault="00224313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209EB1" w14:textId="77777777" w:rsidR="00224313" w:rsidRDefault="0022431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74B85A" w14:textId="77777777" w:rsidR="00224313" w:rsidRDefault="00224313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D13C8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0C976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224313" w14:paraId="7E5779C0" w14:textId="77777777">
        <w:trPr>
          <w:cantSplit/>
          <w:trHeight w:val="397"/>
        </w:trPr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95FA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5DF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3414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C653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16B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965E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620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6947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8304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0018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667F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79DE72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6FE2B4BC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BFBF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EC1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D367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D91A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AD9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1A7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AE3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0D8F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182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EEB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5B5C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FB8CECE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16252B62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92E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4C1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9DBF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7E7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033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EFE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6CA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C57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7544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A864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D361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538FBEB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2C2AFDA8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0D3E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D7AA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944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945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26BF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565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F3B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B933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A296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0BC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202C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34FF18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261C294C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E9E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1A08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6EB6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12B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8F3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E1F0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98AA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A1D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F7D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89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A0D1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A652A7F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2C02DD3E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1650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BC66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7DE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FEFF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69CE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F6A0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3C7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04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0B8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20D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BA4F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452E02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1AF07BB6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5730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80B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442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4A6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FD66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23CC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18C1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A78A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23B0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E683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05AF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117D919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  <w:tr w:rsidR="00224313" w14:paraId="59FB68AB" w14:textId="77777777">
        <w:trPr>
          <w:cantSplit/>
          <w:trHeight w:val="397"/>
        </w:trPr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B09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330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6685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CC43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1F47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A0D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0F5B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046D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B8DE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EC5F" w14:textId="77777777" w:rsidR="00224313" w:rsidRDefault="00224313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DC8A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1EC86C8" w14:textId="77777777" w:rsidR="00224313" w:rsidRDefault="00224313">
            <w:pPr>
              <w:widowControl w:val="0"/>
              <w:rPr>
                <w:rFonts w:ascii="Cambria" w:hAnsi="Cambria"/>
              </w:rPr>
            </w:pPr>
          </w:p>
        </w:tc>
      </w:tr>
    </w:tbl>
    <w:p w14:paraId="1CEB42F0" w14:textId="77777777" w:rsidR="00224313" w:rsidRDefault="00DB1FF3">
      <w:pPr>
        <w:spacing w:before="12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Regály z hlediska bezpečné manipulace musí být bezpečně obsluhovány, udržovány a opravovány a platí pro ně následující zásady:</w:t>
      </w:r>
    </w:p>
    <w:p w14:paraId="0873AA5D" w14:textId="77777777" w:rsidR="00224313" w:rsidRDefault="00DB1FF3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musí být stabilní. Zakazuje se zajištění regálů opřením o konstrukci nebo vzájemné opření o sebe.</w:t>
      </w:r>
    </w:p>
    <w:p w14:paraId="585B559A" w14:textId="77777777" w:rsidR="00224313" w:rsidRDefault="00DB1FF3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musí být prokázaná nosnost. Zakazuje se přetěžovat části regálů; označení nosnosti regálové buňky a sloupce musí být vyvěšeno na viditelném místě.</w:t>
      </w:r>
    </w:p>
    <w:p w14:paraId="42EFC80A" w14:textId="6350C911" w:rsidR="00224313" w:rsidRDefault="00DB1FF3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Rozměry zakládaného materiálu musí odpovídat přílohu regálu.</w:t>
      </w:r>
    </w:p>
    <w:p w14:paraId="03DA1256" w14:textId="77777777" w:rsidR="00224313" w:rsidRDefault="00DB1FF3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Zakazuje se používat poškozené, nestabilní regály – regál se musí označit – „POŠKOZEN – NEPOUŽÍVAT!“ apod.</w:t>
      </w:r>
    </w:p>
    <w:p w14:paraId="5FFE1387" w14:textId="77777777" w:rsidR="00224313" w:rsidRDefault="00DB1FF3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Před uvedením do provozu, po každém přemístění a přestavení regálu a nejméně 1x ročně provádět kontrolu technického stavu a zda regál odpovídá technické dokumentaci. </w:t>
      </w:r>
    </w:p>
    <w:p w14:paraId="31401B47" w14:textId="77777777" w:rsidR="00224313" w:rsidRDefault="00DB1FF3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Přístup k regálům musí být volný a nic nesmí bránit zakládání a odebírání materiálu. </w:t>
      </w:r>
    </w:p>
    <w:p w14:paraId="03634897" w14:textId="77777777" w:rsidR="00224313" w:rsidRDefault="00DB1FF3">
      <w:pPr>
        <w:numPr>
          <w:ilvl w:val="0"/>
          <w:numId w:val="3"/>
        </w:numPr>
        <w:overflowPunct w:val="0"/>
        <w:ind w:right="-698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Ruční obsluha regálů je povolena do výšky 1,8 m, ostatní obsluha se provádí z typizovaných žebříků, žebříkových schůdků, kde platí zásady, že se zakazuje stát při manipulaci na poslední podestě žebříkových schůdků.</w:t>
      </w:r>
    </w:p>
    <w:p w14:paraId="6262FBF9" w14:textId="6DD1F79C" w:rsidR="00224313" w:rsidRDefault="00DB1FF3" w:rsidP="2F2B8717">
      <w:pPr>
        <w:numPr>
          <w:ilvl w:val="0"/>
          <w:numId w:val="3"/>
        </w:numPr>
        <w:overflowPunct w:val="0"/>
        <w:textAlignment w:val="baseline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Zakazuje se lezení do regálů, popř. výstup po nich.</w:t>
      </w:r>
    </w:p>
    <w:sectPr w:rsidR="00224313">
      <w:headerReference w:type="default" r:id="rId8"/>
      <w:headerReference w:type="first" r:id="rId9"/>
      <w:pgSz w:w="16838" w:h="11906" w:orient="landscape"/>
      <w:pgMar w:top="895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D513" w14:textId="77777777" w:rsidR="004855D7" w:rsidRDefault="00DB1FF3">
      <w:r>
        <w:separator/>
      </w:r>
    </w:p>
  </w:endnote>
  <w:endnote w:type="continuationSeparator" w:id="0">
    <w:p w14:paraId="7300A9D2" w14:textId="77777777" w:rsidR="004855D7" w:rsidRDefault="00DB1FF3">
      <w:r>
        <w:continuationSeparator/>
      </w:r>
    </w:p>
  </w:endnote>
  <w:endnote w:type="continuationNotice" w:id="1">
    <w:p w14:paraId="72DB5292" w14:textId="77777777" w:rsidR="000409CE" w:rsidRDefault="00040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3128" w14:textId="77777777" w:rsidR="004855D7" w:rsidRDefault="00DB1FF3">
      <w:r>
        <w:separator/>
      </w:r>
    </w:p>
  </w:footnote>
  <w:footnote w:type="continuationSeparator" w:id="0">
    <w:p w14:paraId="7BFB8C0E" w14:textId="77777777" w:rsidR="004855D7" w:rsidRDefault="00DB1FF3">
      <w:r>
        <w:continuationSeparator/>
      </w:r>
    </w:p>
  </w:footnote>
  <w:footnote w:type="continuationNotice" w:id="1">
    <w:p w14:paraId="31AAF83F" w14:textId="77777777" w:rsidR="000409CE" w:rsidRDefault="00040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16B" w14:textId="77595AF5" w:rsidR="00224313" w:rsidRDefault="00DB1FF3">
    <w:pPr>
      <w:rPr>
        <w:rFonts w:ascii="Cambria" w:hAnsi="Cambria"/>
      </w:rPr>
    </w:pPr>
    <w:r>
      <w:rPr>
        <w:rFonts w:ascii="Cambria" w:hAnsi="Cambria"/>
      </w:rPr>
      <w:t>Příloha č.1</w:t>
    </w:r>
    <w:r w:rsidR="00C96611">
      <w:rPr>
        <w:rFonts w:ascii="Cambria" w:hAnsi="Cambria"/>
      </w:rPr>
      <w:t>4</w:t>
    </w:r>
    <w:r>
      <w:rPr>
        <w:rFonts w:ascii="Cambria" w:hAnsi="Cambria"/>
      </w:rPr>
      <w:t xml:space="preserve"> Opatření děkana č. </w:t>
    </w:r>
    <w:r w:rsidR="00C91F7A">
      <w:rPr>
        <w:rFonts w:ascii="Cambria" w:hAnsi="Cambria"/>
      </w:rPr>
      <w:t>18</w:t>
    </w:r>
    <w:r>
      <w:rPr>
        <w:rFonts w:ascii="Cambria" w:hAnsi="Cambria"/>
      </w:rPr>
      <w:t xml:space="preserve">/2023 </w:t>
    </w:r>
  </w:p>
  <w:p w14:paraId="2EF9B723" w14:textId="77777777" w:rsidR="00224313" w:rsidRDefault="002243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DE39" w14:textId="710154C6" w:rsidR="00224313" w:rsidRDefault="00DB1FF3">
    <w:pPr>
      <w:rPr>
        <w:rFonts w:ascii="Cambria" w:hAnsi="Cambria"/>
      </w:rPr>
    </w:pPr>
    <w:r>
      <w:rPr>
        <w:rFonts w:ascii="Cambria" w:hAnsi="Cambria"/>
      </w:rPr>
      <w:t xml:space="preserve">Příloha č.12  Opatření děkana č. XX/2023 </w:t>
    </w:r>
  </w:p>
  <w:p w14:paraId="0EB83C9A" w14:textId="77777777" w:rsidR="00224313" w:rsidRDefault="002243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5291"/>
    <w:multiLevelType w:val="multilevel"/>
    <w:tmpl w:val="BCF6E1C8"/>
    <w:lvl w:ilvl="0">
      <w:numFmt w:val="decimal"/>
      <w:pStyle w:val="Stylnadpis2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920E7"/>
    <w:multiLevelType w:val="multilevel"/>
    <w:tmpl w:val="EAD0DA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45DAF"/>
    <w:multiLevelType w:val="multilevel"/>
    <w:tmpl w:val="868E58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1467542">
    <w:abstractNumId w:val="2"/>
  </w:num>
  <w:num w:numId="2" w16cid:durableId="1763136665">
    <w:abstractNumId w:val="0"/>
  </w:num>
  <w:num w:numId="3" w16cid:durableId="28292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13"/>
    <w:rsid w:val="000409CE"/>
    <w:rsid w:val="000C6016"/>
    <w:rsid w:val="002218F8"/>
    <w:rsid w:val="00224313"/>
    <w:rsid w:val="00354C20"/>
    <w:rsid w:val="003C70AF"/>
    <w:rsid w:val="003F49D9"/>
    <w:rsid w:val="004855D7"/>
    <w:rsid w:val="004E740B"/>
    <w:rsid w:val="00536428"/>
    <w:rsid w:val="00923283"/>
    <w:rsid w:val="00AD09A4"/>
    <w:rsid w:val="00BC6667"/>
    <w:rsid w:val="00C91F7A"/>
    <w:rsid w:val="00C96611"/>
    <w:rsid w:val="00CA395E"/>
    <w:rsid w:val="00DB1FF3"/>
    <w:rsid w:val="00DE4C8C"/>
    <w:rsid w:val="2C279272"/>
    <w:rsid w:val="2F2B8717"/>
    <w:rsid w:val="532AD3F9"/>
    <w:rsid w:val="6298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7A01"/>
  <w15:docId w15:val="{25F61C74-6A9A-4B49-B8B4-0C02655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55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autoRedefine/>
    <w:qFormat/>
    <w:rsid w:val="009F1DEB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9F1DE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autoRedefine/>
    <w:qFormat/>
    <w:rsid w:val="00AA36C1"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F35553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35553"/>
    <w:pPr>
      <w:keepNext/>
      <w:tabs>
        <w:tab w:val="left" w:pos="1008"/>
        <w:tab w:val="left" w:pos="1134"/>
      </w:tabs>
      <w:overflowPunct w:val="0"/>
      <w:spacing w:before="120" w:line="360" w:lineRule="auto"/>
      <w:ind w:left="1008" w:hanging="1008"/>
      <w:jc w:val="center"/>
      <w:textAlignment w:val="baseline"/>
      <w:outlineLvl w:val="4"/>
    </w:pPr>
    <w:rPr>
      <w:b/>
      <w:caps/>
      <w:color w:val="00FFFF"/>
      <w:sz w:val="20"/>
    </w:rPr>
  </w:style>
  <w:style w:type="paragraph" w:styleId="Nadpis6">
    <w:name w:val="heading 6"/>
    <w:basedOn w:val="Normln"/>
    <w:next w:val="Normln"/>
    <w:qFormat/>
    <w:rsid w:val="00F35553"/>
    <w:pPr>
      <w:keepNext/>
      <w:tabs>
        <w:tab w:val="left" w:pos="1152"/>
      </w:tabs>
      <w:overflowPunct w:val="0"/>
      <w:spacing w:before="120" w:line="360" w:lineRule="auto"/>
      <w:ind w:left="1152" w:hanging="1152"/>
      <w:jc w:val="center"/>
      <w:textAlignment w:val="baseline"/>
      <w:outlineLvl w:val="5"/>
    </w:pPr>
    <w:rPr>
      <w:b/>
      <w:caps/>
      <w:color w:val="00FFFF"/>
    </w:rPr>
  </w:style>
  <w:style w:type="paragraph" w:styleId="Nadpis7">
    <w:name w:val="heading 7"/>
    <w:basedOn w:val="Normln"/>
    <w:next w:val="Normln"/>
    <w:qFormat/>
    <w:rsid w:val="00F35553"/>
    <w:pPr>
      <w:keepNext/>
      <w:tabs>
        <w:tab w:val="left" w:pos="1134"/>
        <w:tab w:val="left" w:pos="1296"/>
      </w:tabs>
      <w:overflowPunct w:val="0"/>
      <w:spacing w:line="360" w:lineRule="auto"/>
      <w:ind w:left="1296" w:hanging="1296"/>
      <w:jc w:val="center"/>
      <w:textAlignment w:val="baseline"/>
      <w:outlineLvl w:val="6"/>
    </w:pPr>
    <w:rPr>
      <w:b/>
      <w:caps/>
    </w:rPr>
  </w:style>
  <w:style w:type="paragraph" w:styleId="Nadpis8">
    <w:name w:val="heading 8"/>
    <w:basedOn w:val="Normln"/>
    <w:next w:val="Normln"/>
    <w:qFormat/>
    <w:rsid w:val="00F35553"/>
    <w:pPr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F35553"/>
    <w:pPr>
      <w:keepNext/>
      <w:tabs>
        <w:tab w:val="left" w:pos="1134"/>
        <w:tab w:val="left" w:pos="1584"/>
      </w:tabs>
      <w:overflowPunct w:val="0"/>
      <w:spacing w:before="120"/>
      <w:ind w:left="1584" w:hanging="1584"/>
      <w:jc w:val="center"/>
      <w:textAlignment w:val="baseline"/>
      <w:outlineLvl w:val="8"/>
    </w:pPr>
    <w:rPr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027425"/>
    <w:rPr>
      <w:rFonts w:ascii="Segoe UI" w:hAnsi="Segoe UI" w:cs="Segoe UI"/>
      <w:sz w:val="18"/>
      <w:szCs w:val="18"/>
    </w:rPr>
  </w:style>
  <w:style w:type="character" w:styleId="Odkaznakoment">
    <w:name w:val="annotation reference"/>
    <w:qFormat/>
    <w:rsid w:val="00893F99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893F99"/>
    <w:rPr>
      <w:lang w:eastAsia="cs-CZ"/>
    </w:rPr>
  </w:style>
  <w:style w:type="character" w:customStyle="1" w:styleId="PedmtkomenteChar">
    <w:name w:val="Předmět komentáře Char"/>
    <w:link w:val="Pedmtkomente"/>
    <w:qFormat/>
    <w:rsid w:val="00893F99"/>
    <w:rPr>
      <w:b/>
      <w:bCs/>
      <w:lang w:eastAsia="cs-CZ"/>
    </w:rPr>
  </w:style>
  <w:style w:type="character" w:customStyle="1" w:styleId="ZpatChar">
    <w:name w:val="Zápatí Char"/>
    <w:link w:val="Zpat"/>
    <w:qFormat/>
    <w:rsid w:val="00083DD6"/>
    <w:rPr>
      <w:sz w:val="24"/>
      <w:szCs w:val="24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35553"/>
    <w:pPr>
      <w:tabs>
        <w:tab w:val="center" w:pos="4536"/>
        <w:tab w:val="right" w:pos="9072"/>
      </w:tabs>
    </w:pPr>
  </w:style>
  <w:style w:type="paragraph" w:customStyle="1" w:styleId="Stylnadpis2">
    <w:name w:val="Styl nadpisů 2"/>
    <w:basedOn w:val="Normln"/>
    <w:qFormat/>
    <w:rsid w:val="00F35553"/>
    <w:pPr>
      <w:numPr>
        <w:numId w:val="2"/>
      </w:numPr>
    </w:pPr>
    <w:rPr>
      <w:szCs w:val="20"/>
    </w:rPr>
  </w:style>
  <w:style w:type="paragraph" w:customStyle="1" w:styleId="Stylnadpis3">
    <w:name w:val="Styl nadpisů 3"/>
    <w:basedOn w:val="Normln"/>
    <w:qFormat/>
    <w:rsid w:val="00F35553"/>
    <w:pPr>
      <w:tabs>
        <w:tab w:val="num" w:pos="0"/>
      </w:tabs>
    </w:pPr>
    <w:rPr>
      <w:szCs w:val="20"/>
    </w:rPr>
  </w:style>
  <w:style w:type="paragraph" w:customStyle="1" w:styleId="Stylnadpis4">
    <w:name w:val="Styl nadpisů 4"/>
    <w:basedOn w:val="Normln"/>
    <w:qFormat/>
    <w:rsid w:val="00F35553"/>
    <w:pPr>
      <w:tabs>
        <w:tab w:val="num" w:pos="0"/>
      </w:tabs>
    </w:pPr>
    <w:rPr>
      <w:szCs w:val="20"/>
    </w:rPr>
  </w:style>
  <w:style w:type="paragraph" w:customStyle="1" w:styleId="Stylnadpis1">
    <w:name w:val="Styl nadpisů 1"/>
    <w:basedOn w:val="Normln"/>
    <w:qFormat/>
    <w:rsid w:val="00F35553"/>
    <w:pPr>
      <w:tabs>
        <w:tab w:val="num" w:pos="0"/>
        <w:tab w:val="left" w:pos="5670"/>
      </w:tabs>
    </w:pPr>
    <w:rPr>
      <w:b/>
      <w:caps/>
      <w:sz w:val="28"/>
      <w:szCs w:val="20"/>
    </w:rPr>
  </w:style>
  <w:style w:type="paragraph" w:styleId="Textbubliny">
    <w:name w:val="Balloon Text"/>
    <w:basedOn w:val="Normln"/>
    <w:link w:val="TextbublinyChar"/>
    <w:qFormat/>
    <w:rsid w:val="00027425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893F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893F99"/>
    <w:rPr>
      <w:b/>
      <w:bCs/>
    </w:rPr>
  </w:style>
  <w:style w:type="paragraph" w:styleId="Revize">
    <w:name w:val="Revision"/>
    <w:uiPriority w:val="99"/>
    <w:semiHidden/>
    <w:qFormat/>
    <w:rsid w:val="00A35520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083DD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0C60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-regaly@matfyz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1589</Characters>
  <Application>Microsoft Office Word</Application>
  <DocSecurity>0</DocSecurity>
  <Lines>13</Lines>
  <Paragraphs>3</Paragraphs>
  <ScaleCrop>false</ScaleCrop>
  <Company>TRAIVA s.r.o.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Společnost, sídlo:</dc:title>
  <dc:subject/>
  <dc:creator>Svoboda</dc:creator>
  <cp:keywords/>
  <dc:description/>
  <cp:lastModifiedBy>Terezie Pávková</cp:lastModifiedBy>
  <cp:revision>6</cp:revision>
  <cp:lastPrinted>2023-12-07T11:23:00Z</cp:lastPrinted>
  <dcterms:created xsi:type="dcterms:W3CDTF">2023-11-27T12:21:00Z</dcterms:created>
  <dcterms:modified xsi:type="dcterms:W3CDTF">2023-12-20T09:30:00Z</dcterms:modified>
  <dc:language>cs-CZ</dc:language>
</cp:coreProperties>
</file>